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GOODS &amp; SERVICE TAX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BBA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YEAR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ASSIGNMENT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Q1. What is Input Tax Credit? Who can avail ITC?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Q2. Explain the terms: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(a) Debit Note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(b) Credit Note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(c) Capital Goods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(d) Tax Invoice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Q3. Explain the concept of Job work in GST.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Q4. Explain the provision regarding refund of tax under GST law.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